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Default="00F92268" w:rsidP="00293876">
      <w:pPr>
        <w:pStyle w:val="BodyText"/>
        <w:rPr>
          <w:sz w:val="6"/>
          <w:szCs w:val="6"/>
        </w:rPr>
      </w:pPr>
      <w:r w:rsidRPr="00C01256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E41B40" w:rsidRPr="00E41B40" w14:paraId="1AB944D1" w14:textId="77777777" w:rsidTr="003E40BB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64D3363" w14:textId="77777777" w:rsidR="003601F9" w:rsidRPr="00E41B40" w:rsidRDefault="003601F9" w:rsidP="003E40BB">
            <w:pPr>
              <w:pStyle w:val="Header"/>
              <w:rPr>
                <w:rFonts w:ascii="Arial" w:hAnsi="Arial" w:cs="Arial"/>
                <w:sz w:val="16"/>
                <w:szCs w:val="16"/>
              </w:rPr>
            </w:pPr>
            <w:r w:rsidRPr="00E41B40">
              <w:rPr>
                <w:rFonts w:ascii="Arial" w:hAnsi="Arial" w:cs="Arial"/>
                <w:sz w:val="16"/>
                <w:szCs w:val="16"/>
              </w:rPr>
              <w:t>Reference number(s)</w:t>
            </w:r>
          </w:p>
        </w:tc>
      </w:tr>
      <w:tr w:rsidR="00E41B40" w:rsidRPr="00E41B40" w14:paraId="05D8042D" w14:textId="77777777" w:rsidTr="003E40BB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1D653" w14:textId="786BCDCD" w:rsidR="003601F9" w:rsidRPr="00E41B40" w:rsidRDefault="003601F9" w:rsidP="003E40BB">
            <w:pPr>
              <w:pStyle w:val="Header"/>
              <w:rPr>
                <w:rFonts w:ascii="Arial" w:hAnsi="Arial" w:cs="Arial"/>
                <w:sz w:val="16"/>
                <w:szCs w:val="16"/>
              </w:rPr>
            </w:pPr>
            <w:r w:rsidRPr="00E41B40">
              <w:rPr>
                <w:rFonts w:ascii="Arial" w:hAnsi="Arial" w:cs="Arial"/>
                <w:sz w:val="16"/>
                <w:szCs w:val="16"/>
              </w:rPr>
              <w:t>138-J</w:t>
            </w:r>
          </w:p>
        </w:tc>
      </w:tr>
    </w:tbl>
    <w:p w14:paraId="23490485" w14:textId="77777777" w:rsidR="00E41B40" w:rsidRPr="00E41B40" w:rsidRDefault="00E41B40" w:rsidP="00E41B40">
      <w:pPr>
        <w:rPr>
          <w:sz w:val="16"/>
          <w:szCs w:val="16"/>
        </w:rPr>
        <w:sectPr w:rsidR="00E41B40" w:rsidRPr="00E41B40" w:rsidSect="00071A00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99"/>
        </w:sectPr>
      </w:pPr>
    </w:p>
    <w:p w14:paraId="3F4DE49F" w14:textId="5592A555" w:rsidR="004B15BB" w:rsidRPr="00934341" w:rsidRDefault="00934341" w:rsidP="00F413C4">
      <w:pPr>
        <w:pStyle w:val="Heading1"/>
      </w:pPr>
      <w:r w:rsidRPr="00934341">
        <w:t xml:space="preserve">Post Limit </w:t>
      </w:r>
      <w:r w:rsidR="005B1B48" w:rsidRPr="00934341">
        <w:t>Prior Authorization</w:t>
      </w:r>
      <w:r w:rsidR="00933F7F">
        <w:br/>
        <w:t>Dronabinol</w:t>
      </w:r>
      <w:r w:rsidR="008C54D9" w:rsidRPr="00934341">
        <w:br/>
      </w:r>
      <w:r w:rsidR="005B1B48" w:rsidRPr="00934341">
        <w:t>Dronabinol Products</w:t>
      </w:r>
    </w:p>
    <w:p w14:paraId="78861C92" w14:textId="4DD1DC03" w:rsidR="00203468" w:rsidRPr="00383FD8" w:rsidRDefault="00C64534" w:rsidP="00F413C4">
      <w:pPr>
        <w:pStyle w:val="Heading2"/>
      </w:pPr>
      <w:r w:rsidRPr="00934341">
        <w:t xml:space="preserve">Products Referenced by this </w:t>
      </w:r>
      <w:r w:rsidR="00501602" w:rsidRPr="00934341">
        <w:t>Document</w:t>
      </w:r>
    </w:p>
    <w:p w14:paraId="1B0401D7" w14:textId="2A661C87" w:rsidR="00934341" w:rsidRPr="00934341" w:rsidRDefault="00934341" w:rsidP="00F413C4">
      <w:pPr>
        <w:pStyle w:val="BodyText"/>
      </w:pPr>
      <w:r w:rsidRPr="00934341">
        <w:t>Drugs that are listed in the following table include both brand and generic and all dosage forms and strengths unless otherwise stated. Over-the-counter (OTC) products are not included unless otherwise stated.</w:t>
      </w:r>
    </w:p>
    <w:tbl>
      <w:tblPr>
        <w:tblStyle w:val="TableGrid"/>
        <w:tblW w:w="1077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3590"/>
        <w:gridCol w:w="3590"/>
        <w:gridCol w:w="3590"/>
      </w:tblGrid>
      <w:tr w:rsidR="00934341" w:rsidRPr="00C01256" w14:paraId="0EA5562F" w14:textId="1840A0AF" w:rsidTr="00934341">
        <w:trPr>
          <w:cantSplit/>
          <w:trHeight w:val="288"/>
          <w:tblHeader/>
        </w:trPr>
        <w:tc>
          <w:tcPr>
            <w:tcW w:w="3590" w:type="dxa"/>
            <w:vAlign w:val="center"/>
          </w:tcPr>
          <w:p w14:paraId="7D04AF70" w14:textId="77777777" w:rsidR="00934341" w:rsidRPr="00C01256" w:rsidRDefault="00934341" w:rsidP="004F74BC">
            <w:pPr>
              <w:pStyle w:val="TableHeader"/>
            </w:pPr>
            <w:r w:rsidRPr="00C01256">
              <w:t>Brand Name</w:t>
            </w:r>
          </w:p>
        </w:tc>
        <w:tc>
          <w:tcPr>
            <w:tcW w:w="3590" w:type="dxa"/>
            <w:vAlign w:val="center"/>
          </w:tcPr>
          <w:p w14:paraId="37CB55BF" w14:textId="77777777" w:rsidR="00934341" w:rsidRPr="00C01256" w:rsidRDefault="00934341" w:rsidP="004F74BC">
            <w:pPr>
              <w:pStyle w:val="TableHeader"/>
            </w:pPr>
            <w:r w:rsidRPr="00C01256">
              <w:t>Generic Name</w:t>
            </w:r>
          </w:p>
        </w:tc>
        <w:tc>
          <w:tcPr>
            <w:tcW w:w="3590" w:type="dxa"/>
          </w:tcPr>
          <w:p w14:paraId="02612136" w14:textId="458CF97E" w:rsidR="00934341" w:rsidRPr="00C01256" w:rsidRDefault="00934341" w:rsidP="004F74BC">
            <w:pPr>
              <w:pStyle w:val="TableHeader"/>
            </w:pPr>
            <w:r>
              <w:t>Dosage Form</w:t>
            </w:r>
          </w:p>
        </w:tc>
      </w:tr>
      <w:tr w:rsidR="00934341" w:rsidRPr="00C01256" w14:paraId="319A63DC" w14:textId="6343BA9B" w:rsidTr="00934341">
        <w:trPr>
          <w:cantSplit/>
        </w:trPr>
        <w:tc>
          <w:tcPr>
            <w:tcW w:w="3590" w:type="dxa"/>
          </w:tcPr>
          <w:p w14:paraId="77E7FBB9" w14:textId="0CC3D6A9" w:rsidR="00934341" w:rsidRPr="00C01256" w:rsidRDefault="00934341" w:rsidP="004F74BC">
            <w:pPr>
              <w:pStyle w:val="TableDataUnpadded"/>
            </w:pPr>
            <w:r w:rsidRPr="00C01256">
              <w:rPr>
                <w:bCs/>
                <w:caps/>
              </w:rPr>
              <w:t>M</w:t>
            </w:r>
            <w:r w:rsidRPr="00C01256">
              <w:rPr>
                <w:bCs/>
              </w:rPr>
              <w:t>arinol</w:t>
            </w:r>
          </w:p>
        </w:tc>
        <w:tc>
          <w:tcPr>
            <w:tcW w:w="3590" w:type="dxa"/>
          </w:tcPr>
          <w:p w14:paraId="19B0E052" w14:textId="45B7C27F" w:rsidR="00934341" w:rsidRPr="00C01256" w:rsidRDefault="00934341" w:rsidP="004F74BC">
            <w:pPr>
              <w:pStyle w:val="TableDataUnpadded"/>
            </w:pPr>
            <w:r w:rsidRPr="00C01256">
              <w:rPr>
                <w:bCs/>
              </w:rPr>
              <w:t>dronabinol</w:t>
            </w:r>
          </w:p>
        </w:tc>
        <w:tc>
          <w:tcPr>
            <w:tcW w:w="3590" w:type="dxa"/>
          </w:tcPr>
          <w:p w14:paraId="385AA9AC" w14:textId="4A2B2CD3" w:rsidR="00934341" w:rsidRPr="00C01256" w:rsidRDefault="00934341" w:rsidP="004F74BC">
            <w:pPr>
              <w:pStyle w:val="TableDataUnpadded"/>
              <w:rPr>
                <w:bCs/>
              </w:rPr>
            </w:pPr>
            <w:r>
              <w:rPr>
                <w:bCs/>
              </w:rPr>
              <w:t>all</w:t>
            </w:r>
          </w:p>
        </w:tc>
      </w:tr>
      <w:tr w:rsidR="00934341" w:rsidRPr="00C01256" w14:paraId="1855BFC6" w14:textId="092C0268" w:rsidTr="00934341">
        <w:trPr>
          <w:cantSplit/>
        </w:trPr>
        <w:tc>
          <w:tcPr>
            <w:tcW w:w="3590" w:type="dxa"/>
          </w:tcPr>
          <w:p w14:paraId="0AF5BFFF" w14:textId="4753D36A" w:rsidR="00934341" w:rsidRPr="00C01256" w:rsidRDefault="00934341" w:rsidP="004F74BC">
            <w:pPr>
              <w:pStyle w:val="TableDataUnpadded"/>
            </w:pPr>
            <w:r w:rsidRPr="00C01256">
              <w:rPr>
                <w:bCs/>
              </w:rPr>
              <w:t>Syndros</w:t>
            </w:r>
          </w:p>
        </w:tc>
        <w:tc>
          <w:tcPr>
            <w:tcW w:w="3590" w:type="dxa"/>
          </w:tcPr>
          <w:p w14:paraId="10D361A5" w14:textId="0C273005" w:rsidR="00934341" w:rsidRPr="00C01256" w:rsidRDefault="00934341" w:rsidP="004F74BC">
            <w:pPr>
              <w:pStyle w:val="TableDataUnpadded"/>
            </w:pPr>
            <w:r w:rsidRPr="00C01256">
              <w:rPr>
                <w:bCs/>
              </w:rPr>
              <w:t>dronabinol</w:t>
            </w:r>
          </w:p>
        </w:tc>
        <w:tc>
          <w:tcPr>
            <w:tcW w:w="3590" w:type="dxa"/>
          </w:tcPr>
          <w:p w14:paraId="7864F7DD" w14:textId="4546AFF8" w:rsidR="00934341" w:rsidRPr="00C01256" w:rsidRDefault="00934341" w:rsidP="004F74BC">
            <w:pPr>
              <w:pStyle w:val="TableDataUnpadded"/>
              <w:rPr>
                <w:bCs/>
              </w:rPr>
            </w:pPr>
            <w:r>
              <w:rPr>
                <w:bCs/>
              </w:rPr>
              <w:t>oral solution</w:t>
            </w:r>
          </w:p>
        </w:tc>
      </w:tr>
    </w:tbl>
    <w:p w14:paraId="14CE6108" w14:textId="317F5E83" w:rsidR="00FC1AAD" w:rsidRPr="00934341" w:rsidRDefault="00ED052F" w:rsidP="00F413C4">
      <w:pPr>
        <w:pStyle w:val="Heading2"/>
      </w:pPr>
      <w:r w:rsidRPr="00934341">
        <w:t>Indications</w:t>
      </w:r>
    </w:p>
    <w:p w14:paraId="134B5687" w14:textId="28ED77D1" w:rsidR="00ED052F" w:rsidRPr="00934341" w:rsidRDefault="00ED052F" w:rsidP="00F413C4">
      <w:pPr>
        <w:pStyle w:val="Heading3"/>
      </w:pPr>
      <w:r w:rsidRPr="00934341">
        <w:t>FDA-</w:t>
      </w:r>
      <w:r w:rsidR="00A85F7E">
        <w:t>a</w:t>
      </w:r>
      <w:r w:rsidR="004217B5" w:rsidRPr="00934341">
        <w:t xml:space="preserve">pproved </w:t>
      </w:r>
      <w:r w:rsidRPr="00934341">
        <w:t>Indications</w:t>
      </w:r>
    </w:p>
    <w:p w14:paraId="4C11EDD2" w14:textId="62BF177B" w:rsidR="00ED052F" w:rsidRPr="00934341" w:rsidRDefault="005B1B48" w:rsidP="00F413C4">
      <w:pPr>
        <w:pStyle w:val="Heading4"/>
      </w:pPr>
      <w:r w:rsidRPr="00934341">
        <w:t>Marinol</w:t>
      </w:r>
    </w:p>
    <w:p w14:paraId="66DD5D44" w14:textId="593F0DE6" w:rsidR="00ED052F" w:rsidRPr="00C01256" w:rsidRDefault="005B1B48" w:rsidP="003F2FB6">
      <w:pPr>
        <w:pStyle w:val="BodyText"/>
        <w:spacing w:after="60"/>
        <w:rPr>
          <w:bCs/>
        </w:rPr>
      </w:pPr>
      <w:r w:rsidRPr="00C01256">
        <w:rPr>
          <w:bCs/>
        </w:rPr>
        <w:t>Marinol is indicated in adults for the treatment of</w:t>
      </w:r>
      <w:r w:rsidR="00ED052F" w:rsidRPr="00C01256">
        <w:rPr>
          <w:bCs/>
        </w:rPr>
        <w:t>:</w:t>
      </w:r>
    </w:p>
    <w:p w14:paraId="1487FB5A" w14:textId="77777777" w:rsidR="005B1B48" w:rsidRPr="00C01256" w:rsidRDefault="005B1B48" w:rsidP="00EF1E0F">
      <w:pPr>
        <w:pStyle w:val="ListParagraph"/>
        <w:spacing w:after="0"/>
        <w:ind w:right="0"/>
        <w:rPr>
          <w:bCs/>
        </w:rPr>
      </w:pPr>
      <w:r w:rsidRPr="00C01256">
        <w:rPr>
          <w:bCs/>
        </w:rPr>
        <w:t>anorexia associated with weight loss in patients with Acquired Immune Deficiency Syndrome (AIDS).</w:t>
      </w:r>
    </w:p>
    <w:p w14:paraId="48023306" w14:textId="51870AFF" w:rsidR="005B1B48" w:rsidRPr="00C01256" w:rsidRDefault="005B1B48" w:rsidP="00EF1E0F">
      <w:pPr>
        <w:pStyle w:val="ListParagraph"/>
        <w:spacing w:after="120"/>
        <w:ind w:right="0"/>
        <w:rPr>
          <w:bCs/>
        </w:rPr>
      </w:pPr>
      <w:r w:rsidRPr="00C01256">
        <w:rPr>
          <w:bCs/>
        </w:rPr>
        <w:t>nausea and vomiting associated with cancer chemotherapy in patients who have failed to respond adequately to conventional antiemetic treatments</w:t>
      </w:r>
      <w:r w:rsidR="00D42F0D">
        <w:rPr>
          <w:bCs/>
        </w:rPr>
        <w:t>.</w:t>
      </w:r>
    </w:p>
    <w:p w14:paraId="685FCB1D" w14:textId="6B4208D5" w:rsidR="009A5649" w:rsidRPr="00934341" w:rsidRDefault="005B1B48" w:rsidP="00F413C4">
      <w:pPr>
        <w:pStyle w:val="Heading4"/>
      </w:pPr>
      <w:r w:rsidRPr="00934341">
        <w:t>Syndros</w:t>
      </w:r>
    </w:p>
    <w:p w14:paraId="79962C40" w14:textId="4B0EBC31" w:rsidR="005B1B48" w:rsidRPr="00C01256" w:rsidRDefault="005B1B48" w:rsidP="003F2FB6">
      <w:pPr>
        <w:pStyle w:val="BodyText"/>
        <w:spacing w:after="60"/>
        <w:rPr>
          <w:bCs/>
        </w:rPr>
      </w:pPr>
      <w:r w:rsidRPr="00C01256">
        <w:rPr>
          <w:bCs/>
        </w:rPr>
        <w:t>Syndros is indicated in adults for the treatment of</w:t>
      </w:r>
      <w:r w:rsidR="00452D8D">
        <w:rPr>
          <w:bCs/>
        </w:rPr>
        <w:t>:</w:t>
      </w:r>
    </w:p>
    <w:p w14:paraId="1515972E" w14:textId="77777777" w:rsidR="005B1B48" w:rsidRPr="00C01256" w:rsidRDefault="005B1B48" w:rsidP="00EF1E0F">
      <w:pPr>
        <w:numPr>
          <w:ilvl w:val="0"/>
          <w:numId w:val="27"/>
        </w:numPr>
        <w:tabs>
          <w:tab w:val="left" w:pos="720"/>
          <w:tab w:val="left" w:pos="2880"/>
        </w:tabs>
        <w:rPr>
          <w:rFonts w:cs="Arial"/>
          <w:bCs/>
          <w:szCs w:val="22"/>
        </w:rPr>
      </w:pPr>
      <w:r w:rsidRPr="00C01256">
        <w:rPr>
          <w:rFonts w:cs="Arial"/>
          <w:bCs/>
          <w:szCs w:val="22"/>
        </w:rPr>
        <w:t>anorexia associated with weight loss in patients with Acquired Immune Deficiency Syndrome (AIDS).</w:t>
      </w:r>
    </w:p>
    <w:p w14:paraId="2515240A" w14:textId="77777777" w:rsidR="00A97F3C" w:rsidRPr="00C01256" w:rsidRDefault="005B1B48" w:rsidP="00EF1E0F">
      <w:pPr>
        <w:numPr>
          <w:ilvl w:val="0"/>
          <w:numId w:val="27"/>
        </w:numPr>
        <w:tabs>
          <w:tab w:val="left" w:pos="720"/>
          <w:tab w:val="left" w:pos="2880"/>
        </w:tabs>
        <w:spacing w:after="360"/>
        <w:rPr>
          <w:bCs/>
          <w:szCs w:val="22"/>
        </w:rPr>
      </w:pPr>
      <w:r w:rsidRPr="00C01256">
        <w:rPr>
          <w:bCs/>
          <w:szCs w:val="22"/>
        </w:rPr>
        <w:t>nausea and vomiting associated with cancer chemotherapy in patients who have failed to respond adequately to conventional antiemetic treatments</w:t>
      </w:r>
      <w:r w:rsidR="009A5649" w:rsidRPr="00C01256">
        <w:rPr>
          <w:bCs/>
          <w:szCs w:val="22"/>
        </w:rPr>
        <w:t>.</w:t>
      </w:r>
    </w:p>
    <w:p w14:paraId="4F3C7B9A" w14:textId="0F567C98" w:rsidR="00195B88" w:rsidRPr="00934341" w:rsidRDefault="00685107" w:rsidP="00F413C4">
      <w:pPr>
        <w:pStyle w:val="Heading2"/>
      </w:pPr>
      <w:r w:rsidRPr="00934341">
        <w:lastRenderedPageBreak/>
        <w:t>Coverage Criteria</w:t>
      </w:r>
    </w:p>
    <w:p w14:paraId="7F7920F4" w14:textId="53BBE219" w:rsidR="00195B88" w:rsidRPr="00C01256" w:rsidRDefault="005C5759" w:rsidP="00EF1E0F">
      <w:pPr>
        <w:pStyle w:val="Heading3"/>
        <w:spacing w:before="160"/>
      </w:pPr>
      <w:r w:rsidRPr="00C01256">
        <w:t>Nausea and Vomiting Associated with Cancer Chemotherapy</w:t>
      </w:r>
    </w:p>
    <w:p w14:paraId="64F22DB2" w14:textId="77777777" w:rsidR="00195B88" w:rsidRPr="00C01256" w:rsidRDefault="00195B88" w:rsidP="00A340F4">
      <w:pPr>
        <w:pStyle w:val="BodyText"/>
        <w:rPr>
          <w:b/>
          <w:bCs/>
        </w:rPr>
      </w:pPr>
      <w:r w:rsidRPr="00C01256">
        <w:t xml:space="preserve">Authorization may be granted when </w:t>
      </w:r>
      <w:r w:rsidRPr="00C01256">
        <w:rPr>
          <w:bCs/>
        </w:rPr>
        <w:t xml:space="preserve">the requested drug </w:t>
      </w:r>
      <w:r w:rsidRPr="00C01256">
        <w:t xml:space="preserve">is being prescribed for nausea and vomiting associated with cancer chemotherapy </w:t>
      </w:r>
      <w:r w:rsidRPr="00C01256">
        <w:rPr>
          <w:bCs/>
        </w:rPr>
        <w:t xml:space="preserve">when the following </w:t>
      </w:r>
      <w:r w:rsidRPr="00C01256">
        <w:t>criteria is met:</w:t>
      </w:r>
    </w:p>
    <w:p w14:paraId="39CFE5A6" w14:textId="68106193" w:rsidR="00195B88" w:rsidRPr="00C01256" w:rsidRDefault="005C5759" w:rsidP="003F2FB6">
      <w:pPr>
        <w:pStyle w:val="ListParagraph"/>
        <w:numPr>
          <w:ilvl w:val="0"/>
          <w:numId w:val="28"/>
        </w:numPr>
        <w:tabs>
          <w:tab w:val="left" w:pos="720"/>
          <w:tab w:val="left" w:pos="2880"/>
        </w:tabs>
        <w:spacing w:after="120"/>
        <w:ind w:right="0"/>
        <w:contextualSpacing w:val="0"/>
        <w:textAlignment w:val="auto"/>
        <w:rPr>
          <w:b/>
        </w:rPr>
      </w:pPr>
      <w:r w:rsidRPr="00C01256">
        <w:t>The patient has failed to respond adequately to a conventional antiemetic treatment [NOTE: Examples of conventional antiemetic treatments include dexamethasone, metoclopramide, olanzapine, prochlorperazine, and 5-HT3 receptor antagonists (e.g., Anzemet [dolasetron], granisetron, ondansetron</w:t>
      </w:r>
      <w:r w:rsidR="00195B88" w:rsidRPr="00C01256">
        <w:t>)]</w:t>
      </w:r>
      <w:r w:rsidR="00980BD0">
        <w:t>.</w:t>
      </w:r>
    </w:p>
    <w:p w14:paraId="75AA54DE" w14:textId="25017C2C" w:rsidR="00F0775E" w:rsidRPr="00934341" w:rsidRDefault="00F0775E" w:rsidP="00F413C4">
      <w:pPr>
        <w:pStyle w:val="Heading2"/>
      </w:pPr>
      <w:r w:rsidRPr="00934341">
        <w:t xml:space="preserve">Quantity Limits </w:t>
      </w:r>
      <w:r w:rsidR="00934341" w:rsidRPr="00934341">
        <w:t>A</w:t>
      </w:r>
      <w:r w:rsidRPr="00934341">
        <w:t>pply</w:t>
      </w:r>
    </w:p>
    <w:p w14:paraId="2286C2EF" w14:textId="08CDE027" w:rsidR="00F0775E" w:rsidRPr="00C01256" w:rsidRDefault="00F0775E" w:rsidP="003F2FB6">
      <w:pPr>
        <w:tabs>
          <w:tab w:val="left" w:pos="720"/>
          <w:tab w:val="left" w:pos="2880"/>
        </w:tabs>
        <w:spacing w:after="120"/>
        <w:rPr>
          <w:rFonts w:cs="Arial"/>
          <w:szCs w:val="22"/>
        </w:rPr>
      </w:pPr>
      <w:r w:rsidRPr="00C01256">
        <w:rPr>
          <w:rFonts w:cs="Arial"/>
          <w:szCs w:val="22"/>
        </w:rPr>
        <w:t>Marinol (</w:t>
      </w:r>
      <w:r w:rsidR="005C5759" w:rsidRPr="00C01256">
        <w:rPr>
          <w:rFonts w:cs="Arial"/>
          <w:szCs w:val="22"/>
        </w:rPr>
        <w:t xml:space="preserve">dronabinol) 120 capsules </w:t>
      </w:r>
      <w:bookmarkStart w:id="0" w:name="OLE_LINK18"/>
      <w:r w:rsidR="005C5759" w:rsidRPr="00C01256">
        <w:rPr>
          <w:rFonts w:cs="Arial"/>
          <w:szCs w:val="22"/>
        </w:rPr>
        <w:t xml:space="preserve">per </w:t>
      </w:r>
      <w:bookmarkEnd w:id="0"/>
      <w:r w:rsidR="005C5759" w:rsidRPr="00C01256">
        <w:rPr>
          <w:rFonts w:cs="Arial"/>
          <w:szCs w:val="22"/>
        </w:rPr>
        <w:t>25 days, 360 capsules per 75 days or Syndros (dronabinol) oral solution 240 mL per 25 days, 720</w:t>
      </w:r>
      <w:r w:rsidR="005C5759" w:rsidRPr="00C01256">
        <w:rPr>
          <w:szCs w:val="22"/>
        </w:rPr>
        <w:t xml:space="preserve"> </w:t>
      </w:r>
      <w:r w:rsidR="005C5759" w:rsidRPr="00C01256">
        <w:rPr>
          <w:rFonts w:cs="Arial"/>
          <w:szCs w:val="22"/>
        </w:rPr>
        <w:t>mL per 75 days</w:t>
      </w:r>
      <w:r w:rsidR="00980BD0">
        <w:rPr>
          <w:rFonts w:cs="Arial"/>
          <w:szCs w:val="22"/>
        </w:rPr>
        <w:t>.</w:t>
      </w:r>
    </w:p>
    <w:p w14:paraId="0EDAB7D8" w14:textId="47F2A2EF" w:rsidR="00F0775E" w:rsidRPr="00C01256" w:rsidRDefault="005C5759" w:rsidP="003F2FB6">
      <w:pPr>
        <w:tabs>
          <w:tab w:val="left" w:pos="720"/>
          <w:tab w:val="left" w:pos="2880"/>
        </w:tabs>
        <w:spacing w:after="120"/>
        <w:rPr>
          <w:iCs/>
        </w:rPr>
      </w:pPr>
      <w:r w:rsidRPr="00C01256">
        <w:rPr>
          <w:rFonts w:cs="Arial"/>
          <w:iCs/>
          <w:szCs w:val="22"/>
        </w:rPr>
        <w:t>The duration of 25 days is used for a 30-day fill period and 75 days is used for a 90-day fill period to allow time for refill processing</w:t>
      </w:r>
      <w:r w:rsidR="00F0775E" w:rsidRPr="00C01256">
        <w:rPr>
          <w:rFonts w:cs="Arial"/>
          <w:iCs/>
          <w:szCs w:val="22"/>
        </w:rPr>
        <w:t>.</w:t>
      </w:r>
    </w:p>
    <w:p w14:paraId="77CB8885" w14:textId="2622E21C" w:rsidR="00F0775E" w:rsidRPr="00934341" w:rsidRDefault="00F0775E" w:rsidP="00F413C4">
      <w:pPr>
        <w:pStyle w:val="Heading2"/>
      </w:pPr>
      <w:r w:rsidRPr="00934341">
        <w:t>Duration of Approval (DOA)</w:t>
      </w:r>
    </w:p>
    <w:p w14:paraId="5FB93AA2" w14:textId="77777777" w:rsidR="005C5759" w:rsidRPr="00C01256" w:rsidRDefault="005C5759" w:rsidP="00A97F3C">
      <w:pPr>
        <w:pStyle w:val="ListParagraph"/>
        <w:numPr>
          <w:ilvl w:val="0"/>
          <w:numId w:val="30"/>
        </w:numPr>
        <w:spacing w:after="0"/>
        <w:ind w:left="720" w:right="0"/>
        <w:contextualSpacing w:val="0"/>
        <w:textAlignment w:val="auto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C01256">
        <w:t>138-J: DOA: 6 months</w:t>
      </w:r>
    </w:p>
    <w:p w14:paraId="17409917" w14:textId="4932427D" w:rsidR="00C96B3F" w:rsidRPr="00934341" w:rsidRDefault="00C96B3F" w:rsidP="00F413C4">
      <w:pPr>
        <w:pStyle w:val="Heading2"/>
      </w:pPr>
      <w:r w:rsidRPr="00934341">
        <w:t>References</w:t>
      </w:r>
      <w:r w:rsidR="00E1699F" w:rsidRPr="00934341">
        <w:t xml:space="preserve"> </w:t>
      </w:r>
    </w:p>
    <w:p w14:paraId="1B4217B6" w14:textId="77777777" w:rsidR="005C5759" w:rsidRPr="00C01256" w:rsidRDefault="005C5759" w:rsidP="00A97F3C">
      <w:pPr>
        <w:pStyle w:val="ReferenceOrdered"/>
        <w:keepNext w:val="0"/>
      </w:pPr>
      <w:r w:rsidRPr="00C01256">
        <w:t xml:space="preserve">Marinol [package insert]. Parsippany, NJ: </w:t>
      </w:r>
      <w:proofErr w:type="spellStart"/>
      <w:r w:rsidRPr="00C01256">
        <w:t>ThePharmaNetwork</w:t>
      </w:r>
      <w:proofErr w:type="spellEnd"/>
      <w:r w:rsidRPr="00C01256">
        <w:t xml:space="preserve"> LLC; January 2023.</w:t>
      </w:r>
    </w:p>
    <w:p w14:paraId="51946860" w14:textId="391A5ADA" w:rsidR="005C5759" w:rsidRPr="00C01256" w:rsidRDefault="005C5759" w:rsidP="00A97F3C">
      <w:pPr>
        <w:pStyle w:val="ReferenceOrdered"/>
        <w:keepNext w:val="0"/>
      </w:pPr>
      <w:r w:rsidRPr="00C01256">
        <w:t xml:space="preserve">Syndros [package insert]. Round Rock, TX: </w:t>
      </w:r>
      <w:proofErr w:type="spellStart"/>
      <w:r w:rsidRPr="00C01256">
        <w:t>Benuvia</w:t>
      </w:r>
      <w:proofErr w:type="spellEnd"/>
      <w:r w:rsidRPr="00C01256">
        <w:t xml:space="preserve"> Therapeutics LLC; </w:t>
      </w:r>
      <w:r w:rsidR="00CA72A1">
        <w:t>October</w:t>
      </w:r>
      <w:r w:rsidR="00CA72A1" w:rsidRPr="00C01256">
        <w:t xml:space="preserve"> </w:t>
      </w:r>
      <w:r w:rsidRPr="00C01256">
        <w:t>2022.</w:t>
      </w:r>
    </w:p>
    <w:p w14:paraId="4574FAC0" w14:textId="2BEE2C27" w:rsidR="005C5759" w:rsidRPr="00C01256" w:rsidRDefault="005C5759" w:rsidP="00A97F3C">
      <w:pPr>
        <w:pStyle w:val="ReferenceOrdered"/>
        <w:keepNext w:val="0"/>
        <w:rPr>
          <w:color w:val="000000"/>
        </w:rPr>
      </w:pPr>
      <w:bookmarkStart w:id="5" w:name="OLE_LINK39"/>
      <w:bookmarkStart w:id="6" w:name="OLE_LINK38"/>
      <w:bookmarkStart w:id="7" w:name="OLE_LINK7"/>
      <w:bookmarkStart w:id="8" w:name="_Hlk61268747"/>
      <w:bookmarkStart w:id="9" w:name="OLE_LINK16"/>
      <w:r w:rsidRPr="00C01256">
        <w:t xml:space="preserve">Lexicomp Online, AHFS DI (Adult and Pediatric) Online. </w:t>
      </w:r>
      <w:bookmarkStart w:id="10" w:name="OLE_LINK23"/>
      <w:r w:rsidRPr="00C01256">
        <w:t xml:space="preserve">Waltham, MA: </w:t>
      </w:r>
      <w:bookmarkEnd w:id="10"/>
      <w:r w:rsidRPr="00C01256">
        <w:t>UpToDate, Inc.; 202</w:t>
      </w:r>
      <w:r w:rsidR="009B3C11">
        <w:t>4</w:t>
      </w:r>
      <w:bookmarkStart w:id="11" w:name="OLE_LINK24"/>
      <w:r w:rsidRPr="00C01256">
        <w:t xml:space="preserve">. https://online.lexi.com. </w:t>
      </w:r>
      <w:bookmarkEnd w:id="11"/>
      <w:r w:rsidRPr="00C01256">
        <w:t xml:space="preserve">Accessed November 29, </w:t>
      </w:r>
      <w:bookmarkEnd w:id="5"/>
      <w:r w:rsidRPr="00C01256">
        <w:t>202</w:t>
      </w:r>
      <w:r w:rsidR="00CA72A1">
        <w:t>4</w:t>
      </w:r>
      <w:r w:rsidRPr="00C01256">
        <w:t>.</w:t>
      </w:r>
    </w:p>
    <w:p w14:paraId="33C4635B" w14:textId="6B208D30" w:rsidR="005C5759" w:rsidRPr="00C01256" w:rsidRDefault="005C5759" w:rsidP="003D1273">
      <w:pPr>
        <w:pStyle w:val="ReferenceOrdered"/>
        <w:keepNext w:val="0"/>
        <w:tabs>
          <w:tab w:val="left" w:pos="7740"/>
        </w:tabs>
      </w:pPr>
      <w:r w:rsidRPr="00C01256">
        <w:t>Micromedex</w:t>
      </w:r>
      <w:r w:rsidR="00217E42">
        <w:t>®</w:t>
      </w:r>
      <w:r w:rsidRPr="00C01256">
        <w:t xml:space="preserve"> (electronic version). </w:t>
      </w:r>
      <w:bookmarkStart w:id="12" w:name="OLE_LINK25"/>
      <w:proofErr w:type="spellStart"/>
      <w:r w:rsidRPr="00C01256">
        <w:t>Merative</w:t>
      </w:r>
      <w:proofErr w:type="spellEnd"/>
      <w:r w:rsidRPr="00C01256">
        <w:t>, Ann Arbor, Michigan</w:t>
      </w:r>
      <w:bookmarkEnd w:id="12"/>
      <w:r w:rsidRPr="00C01256">
        <w:t>, USA. Available at: https://www.micromedexsolutions.com</w:t>
      </w:r>
      <w:bookmarkStart w:id="13" w:name="OLE_LINK26"/>
      <w:r w:rsidRPr="00C01256">
        <w:t>/ (cited: 11/29/202</w:t>
      </w:r>
      <w:r w:rsidR="00CA72A1">
        <w:t>4</w:t>
      </w:r>
      <w:r w:rsidRPr="00C01256">
        <w:t>)</w:t>
      </w:r>
      <w:bookmarkEnd w:id="6"/>
      <w:r w:rsidRPr="00C01256">
        <w:t>.</w:t>
      </w:r>
      <w:bookmarkEnd w:id="7"/>
      <w:bookmarkEnd w:id="8"/>
      <w:bookmarkEnd w:id="13"/>
    </w:p>
    <w:bookmarkEnd w:id="9"/>
    <w:p w14:paraId="1024581A" w14:textId="18EEE2CB" w:rsidR="005C5759" w:rsidRPr="00C01256" w:rsidRDefault="005C5759" w:rsidP="00A97F3C">
      <w:pPr>
        <w:pStyle w:val="ReferenceOrdered"/>
        <w:keepNext w:val="0"/>
      </w:pPr>
      <w:r w:rsidRPr="00C01256">
        <w:t>National Comprehensive Cancer Network. Clinical Practice Guidelines in Oncology. Antiemesis. Version 2.202</w:t>
      </w:r>
      <w:r w:rsidR="00CE53BC">
        <w:t>4</w:t>
      </w:r>
      <w:r w:rsidRPr="00C01256">
        <w:t xml:space="preserve">. Available at https://www.nccn.org/professionals/physician_gls/pdf/antiemesis.pdf. Accessed November </w:t>
      </w:r>
      <w:r w:rsidR="00661510">
        <w:t>29</w:t>
      </w:r>
      <w:r w:rsidRPr="00C01256">
        <w:t>, 202</w:t>
      </w:r>
      <w:r w:rsidR="00CA72A1">
        <w:t>4</w:t>
      </w:r>
      <w:r w:rsidRPr="00C01256">
        <w:t>.</w:t>
      </w:r>
    </w:p>
    <w:p w14:paraId="5D54A034" w14:textId="77777777" w:rsidR="005C5759" w:rsidRPr="00C01256" w:rsidRDefault="005C5759" w:rsidP="00A97F3C">
      <w:pPr>
        <w:pStyle w:val="ReferenceOrdered"/>
        <w:keepNext w:val="0"/>
      </w:pPr>
      <w:r w:rsidRPr="00C01256">
        <w:rPr>
          <w:lang w:val="nb-NO"/>
        </w:rPr>
        <w:t xml:space="preserve">Hesketh PJ, Kris MG, Basch E, et al. </w:t>
      </w:r>
      <w:r w:rsidRPr="00C01256">
        <w:t xml:space="preserve">Antiemetics: American Society of Clinical Oncology Clinical Practice Guideline Update. </w:t>
      </w:r>
      <w:r w:rsidRPr="00C01256">
        <w:rPr>
          <w:i/>
        </w:rPr>
        <w:t>J Clin Oncol.</w:t>
      </w:r>
      <w:r w:rsidRPr="00C01256">
        <w:t xml:space="preserve"> 2020; 38:2782-2797.</w:t>
      </w:r>
    </w:p>
    <w:p w14:paraId="0B9DBD71" w14:textId="751F6B1F" w:rsidR="00934341" w:rsidRPr="00C01256" w:rsidRDefault="005C5759" w:rsidP="00F01F64">
      <w:pPr>
        <w:pStyle w:val="ReferenceOrdered"/>
        <w:keepNext w:val="0"/>
      </w:pPr>
      <w:r w:rsidRPr="00C01256">
        <w:t xml:space="preserve">American Cancer Society. How is Chemotherapy Used to Treat Cancer? https://www.cancer.org/treatment/treatments-and-side-effects/treatment-types/chemotherapy/how-is-chemotherapy-used-to-treat-cancer.html. November 2019. Accessed November </w:t>
      </w:r>
      <w:r w:rsidR="00F640D7">
        <w:t>27</w:t>
      </w:r>
      <w:r w:rsidRPr="00C01256">
        <w:t>, 202</w:t>
      </w:r>
      <w:r w:rsidR="00CE53BC">
        <w:t>4</w:t>
      </w:r>
      <w:r w:rsidR="003D2405" w:rsidRPr="00C01256">
        <w:t>.</w:t>
      </w:r>
    </w:p>
    <w:sectPr w:rsidR="00934341" w:rsidRPr="00C01256" w:rsidSect="00071A00">
      <w:footerReference w:type="first" r:id="rId15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DEEEE" w14:textId="77777777" w:rsidR="00335DC4" w:rsidRDefault="00335DC4">
      <w:r>
        <w:separator/>
      </w:r>
    </w:p>
  </w:endnote>
  <w:endnote w:type="continuationSeparator" w:id="0">
    <w:p w14:paraId="3093F9FE" w14:textId="77777777" w:rsidR="00335DC4" w:rsidRDefault="00335DC4">
      <w:r>
        <w:continuationSeparator/>
      </w:r>
    </w:p>
  </w:endnote>
  <w:endnote w:type="continuationNotice" w:id="1">
    <w:p w14:paraId="30BAE1F9" w14:textId="77777777" w:rsidR="00335DC4" w:rsidRDefault="00335D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EDC14" w14:textId="66F05302" w:rsidR="00E41B40" w:rsidRPr="00EC47B6" w:rsidRDefault="00E41B40" w:rsidP="00E41B40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900C7" w:rsidRPr="00F900C7">
      <w:rPr>
        <w:rFonts w:cs="Arial"/>
        <w:noProof/>
        <w:sz w:val="16"/>
        <w:szCs w:val="16"/>
      </w:rPr>
      <w:t>Dronabinol</w:t>
    </w:r>
    <w:r w:rsidR="00F900C7">
      <w:rPr>
        <w:rFonts w:cs="Arial"/>
        <w:noProof/>
        <w:snapToGrid w:val="0"/>
        <w:color w:val="000000"/>
        <w:sz w:val="16"/>
        <w:szCs w:val="16"/>
      </w:rPr>
      <w:t xml:space="preserve"> Post Limit</w:t>
    </w:r>
    <w:r w:rsidR="00F900C7" w:rsidRPr="00F900C7">
      <w:rPr>
        <w:rFonts w:cs="Arial"/>
        <w:noProof/>
        <w:sz w:val="16"/>
        <w:szCs w:val="16"/>
      </w:rPr>
      <w:t xml:space="preserve"> PA</w:t>
    </w:r>
    <w:r w:rsidR="00F900C7">
      <w:rPr>
        <w:rFonts w:cs="Arial"/>
        <w:noProof/>
        <w:snapToGrid w:val="0"/>
        <w:color w:val="000000"/>
        <w:sz w:val="16"/>
        <w:szCs w:val="16"/>
      </w:rPr>
      <w:t xml:space="preserve"> 138-J  P01-2025.docx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1B7276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4DBD9EAA" w14:textId="54ADF617" w:rsidR="00E41B40" w:rsidRPr="00EC47B6" w:rsidRDefault="00E41B40" w:rsidP="00E41B40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15640C2A" w14:textId="7A946440" w:rsidR="00E41B40" w:rsidRPr="00AA1E6A" w:rsidRDefault="00E41B40" w:rsidP="00F413C4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10159" w14:textId="4AD3E6F4" w:rsidR="00E41B40" w:rsidRPr="00EC47B6" w:rsidRDefault="00E41B40" w:rsidP="00E41B40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900C7" w:rsidRPr="00F900C7">
      <w:rPr>
        <w:rFonts w:cs="Arial"/>
        <w:noProof/>
        <w:sz w:val="16"/>
        <w:szCs w:val="16"/>
      </w:rPr>
      <w:t>Dronabinol</w:t>
    </w:r>
    <w:r w:rsidR="00F900C7">
      <w:rPr>
        <w:rFonts w:cs="Arial"/>
        <w:noProof/>
        <w:snapToGrid w:val="0"/>
        <w:color w:val="000000"/>
        <w:sz w:val="16"/>
        <w:szCs w:val="16"/>
      </w:rPr>
      <w:t xml:space="preserve"> Post Limit</w:t>
    </w:r>
    <w:r w:rsidR="00F900C7" w:rsidRPr="00F900C7">
      <w:rPr>
        <w:rFonts w:cs="Arial"/>
        <w:noProof/>
        <w:sz w:val="16"/>
        <w:szCs w:val="16"/>
      </w:rPr>
      <w:t xml:space="preserve"> PA</w:t>
    </w:r>
    <w:r w:rsidR="00F900C7">
      <w:rPr>
        <w:rFonts w:cs="Arial"/>
        <w:noProof/>
        <w:snapToGrid w:val="0"/>
        <w:color w:val="000000"/>
        <w:sz w:val="16"/>
        <w:szCs w:val="16"/>
      </w:rPr>
      <w:t xml:space="preserve"> 138-J  P01-2025.docx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1B7276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2A3D8874" w14:textId="77777777" w:rsidR="00E41B40" w:rsidRPr="00EC47B6" w:rsidRDefault="00E41B40" w:rsidP="00E41B40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7DE1D14E" w14:textId="2A1DF7EC" w:rsidR="00E41B40" w:rsidRPr="00AA1E6A" w:rsidRDefault="00E41B40" w:rsidP="00F413C4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E49D" w14:textId="6B9BD47C" w:rsidR="00E41B40" w:rsidRPr="00E41B40" w:rsidRDefault="00E41B40" w:rsidP="00E41B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3A4F6" w14:textId="77777777" w:rsidR="00335DC4" w:rsidRDefault="00335DC4">
      <w:r>
        <w:separator/>
      </w:r>
    </w:p>
  </w:footnote>
  <w:footnote w:type="continuationSeparator" w:id="0">
    <w:p w14:paraId="4FB3A08F" w14:textId="77777777" w:rsidR="00335DC4" w:rsidRDefault="00335DC4">
      <w:r>
        <w:continuationSeparator/>
      </w:r>
    </w:p>
  </w:footnote>
  <w:footnote w:type="continuationNotice" w:id="1">
    <w:p w14:paraId="1FE3EFF4" w14:textId="77777777" w:rsidR="00335DC4" w:rsidRDefault="00335D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41B40" w:rsidRPr="00E41B40" w14:paraId="3B6EE94E" w14:textId="77777777" w:rsidTr="008659EE">
      <w:trPr>
        <w:trHeight w:val="144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hideMark/>
        </w:tcPr>
        <w:p w14:paraId="21B1C212" w14:textId="77777777" w:rsidR="00E41B40" w:rsidRPr="00E41B40" w:rsidRDefault="00E41B40" w:rsidP="00E41B40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E41B40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41B40" w:rsidRPr="00E41B40" w14:paraId="7C5CAE74" w14:textId="77777777" w:rsidTr="008659EE">
      <w:trPr>
        <w:trHeight w:val="378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8F93B17" w14:textId="77777777" w:rsidR="00E41B40" w:rsidRPr="00E41B40" w:rsidRDefault="00E41B40" w:rsidP="00E41B40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E41B40">
            <w:rPr>
              <w:rFonts w:ascii="Arial" w:hAnsi="Arial" w:cs="Arial"/>
              <w:sz w:val="16"/>
              <w:szCs w:val="16"/>
            </w:rPr>
            <w:t>138-J</w:t>
          </w:r>
        </w:p>
      </w:tc>
    </w:tr>
  </w:tbl>
  <w:p w14:paraId="4D89CFA0" w14:textId="77777777" w:rsidR="00E41B40" w:rsidRPr="00E41B40" w:rsidRDefault="00E41B40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D25613"/>
    <w:multiLevelType w:val="singleLevel"/>
    <w:tmpl w:val="A3A22EFC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163EFC"/>
    <w:multiLevelType w:val="hybridMultilevel"/>
    <w:tmpl w:val="288CE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A561252"/>
    <w:multiLevelType w:val="hybridMultilevel"/>
    <w:tmpl w:val="C68A5A52"/>
    <w:lvl w:ilvl="0" w:tplc="040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16" w15:restartNumberingAfterBreak="0">
    <w:nsid w:val="1B716608"/>
    <w:multiLevelType w:val="hybridMultilevel"/>
    <w:tmpl w:val="3DF8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8" w15:restartNumberingAfterBreak="0">
    <w:nsid w:val="1C3F537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C128F9"/>
    <w:multiLevelType w:val="singleLevel"/>
    <w:tmpl w:val="A3A22EFC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23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5F1A16"/>
    <w:multiLevelType w:val="hybridMultilevel"/>
    <w:tmpl w:val="CD442E8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8"/>
  </w:num>
  <w:num w:numId="3" w16cid:durableId="611589570">
    <w:abstractNumId w:val="23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21"/>
  </w:num>
  <w:num w:numId="17" w16cid:durableId="2128498676">
    <w:abstractNumId w:val="30"/>
  </w:num>
  <w:num w:numId="18" w16cid:durableId="299724409">
    <w:abstractNumId w:val="24"/>
  </w:num>
  <w:num w:numId="19" w16cid:durableId="214585573">
    <w:abstractNumId w:val="17"/>
  </w:num>
  <w:num w:numId="20" w16cid:durableId="1289816170">
    <w:abstractNumId w:val="19"/>
  </w:num>
  <w:num w:numId="21" w16cid:durableId="1066490929">
    <w:abstractNumId w:val="31"/>
  </w:num>
  <w:num w:numId="22" w16cid:durableId="1472481103">
    <w:abstractNumId w:val="26"/>
  </w:num>
  <w:num w:numId="23" w16cid:durableId="1997420403">
    <w:abstractNumId w:val="29"/>
  </w:num>
  <w:num w:numId="24" w16cid:durableId="33312838">
    <w:abstractNumId w:val="25"/>
  </w:num>
  <w:num w:numId="25" w16cid:durableId="507404939">
    <w:abstractNumId w:val="20"/>
  </w:num>
  <w:num w:numId="26" w16cid:durableId="903295118">
    <w:abstractNumId w:val="10"/>
  </w:num>
  <w:num w:numId="27" w16cid:durableId="828717251">
    <w:abstractNumId w:val="16"/>
  </w:num>
  <w:num w:numId="28" w16cid:durableId="1434743421">
    <w:abstractNumId w:val="13"/>
  </w:num>
  <w:num w:numId="29" w16cid:durableId="1807626798">
    <w:abstractNumId w:val="22"/>
    <w:lvlOverride w:ilvl="0">
      <w:startOverride w:val="1"/>
    </w:lvlOverride>
  </w:num>
  <w:num w:numId="30" w16cid:durableId="1407799976">
    <w:abstractNumId w:val="15"/>
  </w:num>
  <w:num w:numId="31" w16cid:durableId="526871614">
    <w:abstractNumId w:val="27"/>
  </w:num>
  <w:num w:numId="32" w16cid:durableId="118306399">
    <w:abstractNumId w:val="18"/>
  </w:num>
  <w:num w:numId="33" w16cid:durableId="786119226">
    <w:abstractNumId w:val="10"/>
    <w:lvlOverride w:ilvl="0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3D8E"/>
    <w:rsid w:val="000141E7"/>
    <w:rsid w:val="000148F0"/>
    <w:rsid w:val="00014F64"/>
    <w:rsid w:val="00016862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6079"/>
    <w:rsid w:val="00037636"/>
    <w:rsid w:val="00037A95"/>
    <w:rsid w:val="00037C32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00"/>
    <w:rsid w:val="00071A7F"/>
    <w:rsid w:val="0007286F"/>
    <w:rsid w:val="000749E4"/>
    <w:rsid w:val="00074BFE"/>
    <w:rsid w:val="00075329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49CF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0FAD"/>
    <w:rsid w:val="000C1120"/>
    <w:rsid w:val="000C1550"/>
    <w:rsid w:val="000C2343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95D"/>
    <w:rsid w:val="000E0C62"/>
    <w:rsid w:val="000E24FA"/>
    <w:rsid w:val="000E2ECC"/>
    <w:rsid w:val="000E37E4"/>
    <w:rsid w:val="000E3A1B"/>
    <w:rsid w:val="000E3DD4"/>
    <w:rsid w:val="000E43D8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6901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27B0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3F1"/>
    <w:rsid w:val="00187BCC"/>
    <w:rsid w:val="00190200"/>
    <w:rsid w:val="0019093D"/>
    <w:rsid w:val="001914C8"/>
    <w:rsid w:val="001916D1"/>
    <w:rsid w:val="00191904"/>
    <w:rsid w:val="00192769"/>
    <w:rsid w:val="001933EE"/>
    <w:rsid w:val="00193696"/>
    <w:rsid w:val="001944B7"/>
    <w:rsid w:val="00195B88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76D"/>
    <w:rsid w:val="001A57C5"/>
    <w:rsid w:val="001A6053"/>
    <w:rsid w:val="001A7761"/>
    <w:rsid w:val="001B459A"/>
    <w:rsid w:val="001B4C8F"/>
    <w:rsid w:val="001B5232"/>
    <w:rsid w:val="001B6FFC"/>
    <w:rsid w:val="001B7276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17E42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40136"/>
    <w:rsid w:val="00240736"/>
    <w:rsid w:val="00240C70"/>
    <w:rsid w:val="00240CA6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574"/>
    <w:rsid w:val="00293876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5577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22C5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17EAA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8FB"/>
    <w:rsid w:val="00333FEE"/>
    <w:rsid w:val="003357AB"/>
    <w:rsid w:val="00335DC4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983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1F9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4E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273"/>
    <w:rsid w:val="003D16A3"/>
    <w:rsid w:val="003D1B9C"/>
    <w:rsid w:val="003D1FBC"/>
    <w:rsid w:val="003D2405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2FB6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20227"/>
    <w:rsid w:val="00420545"/>
    <w:rsid w:val="00420E1B"/>
    <w:rsid w:val="00420EE4"/>
    <w:rsid w:val="00421305"/>
    <w:rsid w:val="004217B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39F4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2D8D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092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108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6C4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EEE"/>
    <w:rsid w:val="004E407D"/>
    <w:rsid w:val="004E4FB7"/>
    <w:rsid w:val="004E563C"/>
    <w:rsid w:val="004E5D9A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1E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D46"/>
    <w:rsid w:val="00545584"/>
    <w:rsid w:val="005462B1"/>
    <w:rsid w:val="0054721E"/>
    <w:rsid w:val="00547DC8"/>
    <w:rsid w:val="00550155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4D9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9101B"/>
    <w:rsid w:val="00592474"/>
    <w:rsid w:val="0059286F"/>
    <w:rsid w:val="00592BC7"/>
    <w:rsid w:val="00592F54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48"/>
    <w:rsid w:val="005B1B77"/>
    <w:rsid w:val="005B2321"/>
    <w:rsid w:val="005B28D1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5759"/>
    <w:rsid w:val="005C6812"/>
    <w:rsid w:val="005C6D2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A7A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2AFD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2A2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1510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0E72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6F7453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991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B0D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37C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2D43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AEB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6FEE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91D"/>
    <w:rsid w:val="00927612"/>
    <w:rsid w:val="00927737"/>
    <w:rsid w:val="00930F9F"/>
    <w:rsid w:val="00931D1D"/>
    <w:rsid w:val="00931D32"/>
    <w:rsid w:val="009323E1"/>
    <w:rsid w:val="009324A8"/>
    <w:rsid w:val="00932532"/>
    <w:rsid w:val="00933F7F"/>
    <w:rsid w:val="00934341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57F81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0BD0"/>
    <w:rsid w:val="009817FD"/>
    <w:rsid w:val="00981EDA"/>
    <w:rsid w:val="00982365"/>
    <w:rsid w:val="009844BA"/>
    <w:rsid w:val="009857F1"/>
    <w:rsid w:val="00985A7D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3C11"/>
    <w:rsid w:val="009B579E"/>
    <w:rsid w:val="009B5866"/>
    <w:rsid w:val="009B5A24"/>
    <w:rsid w:val="009B6153"/>
    <w:rsid w:val="009B649D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CEE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1CAE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20D9"/>
    <w:rsid w:val="00A326BC"/>
    <w:rsid w:val="00A32801"/>
    <w:rsid w:val="00A33A01"/>
    <w:rsid w:val="00A33BC1"/>
    <w:rsid w:val="00A33C4B"/>
    <w:rsid w:val="00A33F92"/>
    <w:rsid w:val="00A340F4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C6E"/>
    <w:rsid w:val="00A80EB5"/>
    <w:rsid w:val="00A82509"/>
    <w:rsid w:val="00A82DDB"/>
    <w:rsid w:val="00A83FA7"/>
    <w:rsid w:val="00A84AD9"/>
    <w:rsid w:val="00A84CB5"/>
    <w:rsid w:val="00A85D18"/>
    <w:rsid w:val="00A85F7E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97F3C"/>
    <w:rsid w:val="00AA0497"/>
    <w:rsid w:val="00AA0955"/>
    <w:rsid w:val="00AA187B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1987"/>
    <w:rsid w:val="00AB299D"/>
    <w:rsid w:val="00AB2BF1"/>
    <w:rsid w:val="00AB3600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AF0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6462"/>
    <w:rsid w:val="00B06E83"/>
    <w:rsid w:val="00B07922"/>
    <w:rsid w:val="00B10E8F"/>
    <w:rsid w:val="00B1104E"/>
    <w:rsid w:val="00B113E6"/>
    <w:rsid w:val="00B11D23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1886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4F3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256"/>
    <w:rsid w:val="00C01BFA"/>
    <w:rsid w:val="00C01C2E"/>
    <w:rsid w:val="00C024FD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5FC2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014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3A95"/>
    <w:rsid w:val="00CA4298"/>
    <w:rsid w:val="00CA43AA"/>
    <w:rsid w:val="00CA59F7"/>
    <w:rsid w:val="00CA6E68"/>
    <w:rsid w:val="00CA7208"/>
    <w:rsid w:val="00CA72A1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05E"/>
    <w:rsid w:val="00CC5112"/>
    <w:rsid w:val="00CC5559"/>
    <w:rsid w:val="00CC5E15"/>
    <w:rsid w:val="00CC63BD"/>
    <w:rsid w:val="00CC6AA8"/>
    <w:rsid w:val="00CC76FA"/>
    <w:rsid w:val="00CD03D0"/>
    <w:rsid w:val="00CD04D5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53BC"/>
    <w:rsid w:val="00CE61C3"/>
    <w:rsid w:val="00CE6A0D"/>
    <w:rsid w:val="00CE71E6"/>
    <w:rsid w:val="00CE72B8"/>
    <w:rsid w:val="00CE76BE"/>
    <w:rsid w:val="00CF01B4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08E4"/>
    <w:rsid w:val="00D411F0"/>
    <w:rsid w:val="00D41649"/>
    <w:rsid w:val="00D41E25"/>
    <w:rsid w:val="00D41E7D"/>
    <w:rsid w:val="00D42063"/>
    <w:rsid w:val="00D4228F"/>
    <w:rsid w:val="00D427A2"/>
    <w:rsid w:val="00D42F0D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D52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0C0"/>
    <w:rsid w:val="00D9125F"/>
    <w:rsid w:val="00D91451"/>
    <w:rsid w:val="00D9169B"/>
    <w:rsid w:val="00D91B68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420D"/>
    <w:rsid w:val="00DA52B5"/>
    <w:rsid w:val="00DA5F0A"/>
    <w:rsid w:val="00DA640C"/>
    <w:rsid w:val="00DA6BAC"/>
    <w:rsid w:val="00DB0090"/>
    <w:rsid w:val="00DB11BA"/>
    <w:rsid w:val="00DB1811"/>
    <w:rsid w:val="00DB1B3D"/>
    <w:rsid w:val="00DB2117"/>
    <w:rsid w:val="00DB259D"/>
    <w:rsid w:val="00DB29B3"/>
    <w:rsid w:val="00DB2F02"/>
    <w:rsid w:val="00DB3F42"/>
    <w:rsid w:val="00DB3F87"/>
    <w:rsid w:val="00DB41D7"/>
    <w:rsid w:val="00DB4370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6C7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1B40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893"/>
    <w:rsid w:val="00E55E94"/>
    <w:rsid w:val="00E562F5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259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1E0F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1F64"/>
    <w:rsid w:val="00F043C9"/>
    <w:rsid w:val="00F04FA6"/>
    <w:rsid w:val="00F0554B"/>
    <w:rsid w:val="00F0775E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5DE"/>
    <w:rsid w:val="00F2074F"/>
    <w:rsid w:val="00F21375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0CA7"/>
    <w:rsid w:val="00F314FE"/>
    <w:rsid w:val="00F31BBD"/>
    <w:rsid w:val="00F324B8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13C4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3EF"/>
    <w:rsid w:val="00F60D17"/>
    <w:rsid w:val="00F6121D"/>
    <w:rsid w:val="00F6150C"/>
    <w:rsid w:val="00F61D08"/>
    <w:rsid w:val="00F624BA"/>
    <w:rsid w:val="00F62986"/>
    <w:rsid w:val="00F62CF0"/>
    <w:rsid w:val="00F63935"/>
    <w:rsid w:val="00F640D7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0C7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AE3"/>
    <w:rsid w:val="00FA03D8"/>
    <w:rsid w:val="00FA0478"/>
    <w:rsid w:val="00FA125F"/>
    <w:rsid w:val="00FA14F9"/>
    <w:rsid w:val="00FA2226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4217B5"/>
    <w:pPr>
      <w:outlineLvl w:val="3"/>
    </w:pPr>
    <w:rPr>
      <w:b w:val="0"/>
      <w:bCs w:val="0"/>
      <w:sz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4217B5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CM47">
    <w:name w:val="CM47"/>
    <w:basedOn w:val="Default"/>
    <w:next w:val="Default"/>
    <w:rsid w:val="005B1B48"/>
    <w:rPr>
      <w:rFonts w:ascii="Arial"/>
      <w:color w:val="auto"/>
    </w:rPr>
  </w:style>
  <w:style w:type="paragraph" w:customStyle="1" w:styleId="TableDataUnpadded">
    <w:name w:val="Table Data Unpadded"/>
    <w:basedOn w:val="Normal"/>
    <w:link w:val="TableDataUnpaddedChar"/>
    <w:qFormat/>
    <w:rsid w:val="003F2FB6"/>
    <w:rPr>
      <w:rFonts w:eastAsia="Arial" w:cs="Arial"/>
      <w:szCs w:val="22"/>
    </w:rPr>
  </w:style>
  <w:style w:type="character" w:customStyle="1" w:styleId="TableDataUnpaddedChar">
    <w:name w:val="Table Data Unpadded Char"/>
    <w:basedOn w:val="DefaultParagraphFont"/>
    <w:link w:val="TableDataUnpadded"/>
    <w:rsid w:val="003F2FB6"/>
    <w:rPr>
      <w:rFonts w:ascii="CVS Health Sans" w:eastAsia="Arial" w:hAnsi="CVS Health Sans" w:cs="Arial"/>
      <w:sz w:val="22"/>
      <w:szCs w:val="22"/>
    </w:rPr>
  </w:style>
  <w:style w:type="paragraph" w:customStyle="1" w:styleId="Marginfooter">
    <w:name w:val="Margin footer"/>
    <w:basedOn w:val="Normal"/>
    <w:link w:val="MarginfooterChar"/>
    <w:qFormat/>
    <w:rsid w:val="00E41B40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E41B40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2.xml><?xml version="1.0" encoding="utf-8"?>
<ds:datastoreItem xmlns:ds="http://schemas.openxmlformats.org/officeDocument/2006/customXml" ds:itemID="{809F1440-B5F2-4FDA-BD7A-C75CE1A38C9C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394</Words>
  <Characters>2664</Characters>
  <Application>Microsoft Office Word</Application>
  <DocSecurity>0</DocSecurity>
  <Lines>64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Dronabinol Post Limit PA Policy 138-J UDR  01-2024a</vt:lpstr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Dronabinol Post Limit PA 138-J</dc:title>
  <dc:subject>Dronabinol Post Limit PA 138-J</dc:subject>
  <dc:creator>CVS Caremark</dc:creator>
  <cp:keywords/>
  <cp:lastModifiedBy>Ortiz, Erica M</cp:lastModifiedBy>
  <cp:revision>3</cp:revision>
  <cp:lastPrinted>2024-04-03T11:46:00Z</cp:lastPrinted>
  <dcterms:created xsi:type="dcterms:W3CDTF">2025-04-18T14:23:00Z</dcterms:created>
  <dcterms:modified xsi:type="dcterms:W3CDTF">2025-04-18T14:24:00Z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2488800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